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0E9D8" w14:textId="77777777" w:rsidR="00FB55AE" w:rsidRDefault="00FB55AE" w:rsidP="00FB55AE">
      <w:pPr>
        <w:spacing w:before="40" w:after="0" w:line="240" w:lineRule="auto"/>
        <w:ind w:right="86"/>
        <w:rPr>
          <w:noProof/>
        </w:rPr>
      </w:pPr>
    </w:p>
    <w:p w14:paraId="35ECA39B" w14:textId="77777777" w:rsidR="002A4680" w:rsidRPr="00E24AED" w:rsidRDefault="00E24AED" w:rsidP="00FB55AE">
      <w:pPr>
        <w:spacing w:before="40" w:after="0" w:line="240" w:lineRule="auto"/>
        <w:ind w:right="86"/>
        <w:rPr>
          <w:b/>
          <w:i/>
          <w:noProof/>
          <w:sz w:val="26"/>
          <w:szCs w:val="26"/>
        </w:rPr>
      </w:pPr>
      <w:r w:rsidRPr="00E24AED">
        <w:rPr>
          <w:b/>
          <w:i/>
          <w:noProof/>
          <w:sz w:val="26"/>
          <w:szCs w:val="26"/>
        </w:rPr>
        <w:t>Prior to initiating Stericycle’s technician-assisted kiosk service, complete the following steps …</w:t>
      </w:r>
    </w:p>
    <w:p w14:paraId="524D5051" w14:textId="77777777" w:rsidR="00E24AED" w:rsidRDefault="00E24AED" w:rsidP="00FB55AE">
      <w:pPr>
        <w:spacing w:before="40" w:after="0" w:line="240" w:lineRule="auto"/>
        <w:ind w:right="86"/>
        <w:rPr>
          <w:noProof/>
        </w:rPr>
      </w:pPr>
    </w:p>
    <w:p w14:paraId="0D54262B" w14:textId="77777777" w:rsidR="002A4680" w:rsidRDefault="002A4680" w:rsidP="002A4680">
      <w:pPr>
        <w:pStyle w:val="ListParagraph"/>
        <w:numPr>
          <w:ilvl w:val="0"/>
          <w:numId w:val="6"/>
        </w:numPr>
        <w:spacing w:before="40" w:after="0" w:line="240" w:lineRule="auto"/>
        <w:ind w:right="86"/>
        <w:rPr>
          <w:noProof/>
        </w:rPr>
      </w:pPr>
      <w:r w:rsidRPr="00053559">
        <w:rPr>
          <w:noProof/>
          <w:u w:val="single"/>
        </w:rPr>
        <w:t xml:space="preserve">Modify </w:t>
      </w:r>
      <w:r w:rsidR="00053559">
        <w:rPr>
          <w:noProof/>
          <w:u w:val="single"/>
        </w:rPr>
        <w:t>each</w:t>
      </w:r>
      <w:r w:rsidRPr="00053559">
        <w:rPr>
          <w:noProof/>
          <w:u w:val="single"/>
        </w:rPr>
        <w:t xml:space="preserve"> host location’s DEA </w:t>
      </w:r>
      <w:r w:rsidR="00254BC4" w:rsidRPr="00053559">
        <w:rPr>
          <w:noProof/>
          <w:u w:val="single"/>
        </w:rPr>
        <w:t>registration</w:t>
      </w:r>
      <w:r w:rsidR="00E24AED" w:rsidRPr="00053559">
        <w:rPr>
          <w:noProof/>
          <w:u w:val="single"/>
        </w:rPr>
        <w:t xml:space="preserve"> to add collector status</w:t>
      </w:r>
      <w:r w:rsidR="00053559" w:rsidRPr="00053559">
        <w:rPr>
          <w:noProof/>
          <w:u w:val="single"/>
        </w:rPr>
        <w:t xml:space="preserve"> and provide license copies to Stericycle</w:t>
      </w:r>
      <w:r w:rsidR="00053559">
        <w:rPr>
          <w:noProof/>
        </w:rPr>
        <w:t>:</w:t>
      </w:r>
    </w:p>
    <w:p w14:paraId="3BCABEED" w14:textId="77777777" w:rsidR="002A4680" w:rsidRDefault="00254BC4" w:rsidP="00254BC4">
      <w:pPr>
        <w:pStyle w:val="ListParagraph"/>
        <w:numPr>
          <w:ilvl w:val="0"/>
          <w:numId w:val="8"/>
        </w:numPr>
        <w:spacing w:before="40" w:after="0" w:line="240" w:lineRule="auto"/>
        <w:ind w:right="86"/>
        <w:rPr>
          <w:noProof/>
        </w:rPr>
      </w:pPr>
      <w:r>
        <w:rPr>
          <w:noProof/>
        </w:rPr>
        <w:t>Can be completed online at</w:t>
      </w:r>
      <w:r w:rsidRPr="00254BC4">
        <w:t xml:space="preserve"> </w:t>
      </w:r>
      <w:hyperlink r:id="rId11" w:history="1">
        <w:r w:rsidRPr="008A5EC3">
          <w:rPr>
            <w:rStyle w:val="Hyperlink"/>
            <w:noProof/>
          </w:rPr>
          <w:t>https://apps.deadiversion.usdoj.gov/webforms2/spring/login?execution=e1s1</w:t>
        </w:r>
      </w:hyperlink>
    </w:p>
    <w:p w14:paraId="6289182C" w14:textId="77777777" w:rsidR="00C87FA6" w:rsidRDefault="00254BC4" w:rsidP="00981E7C">
      <w:pPr>
        <w:pStyle w:val="ListParagraph"/>
        <w:numPr>
          <w:ilvl w:val="0"/>
          <w:numId w:val="8"/>
        </w:numPr>
        <w:spacing w:before="40" w:after="0" w:line="240" w:lineRule="auto"/>
        <w:ind w:right="86"/>
        <w:rPr>
          <w:noProof/>
        </w:rPr>
      </w:pPr>
      <w:r>
        <w:rPr>
          <w:noProof/>
        </w:rPr>
        <w:t xml:space="preserve">Required for </w:t>
      </w:r>
      <w:r w:rsidR="00C87FA6" w:rsidRPr="007945D9">
        <w:t>DEA registrant host locations (ex. retail pharmacies, hospitals)</w:t>
      </w:r>
    </w:p>
    <w:p w14:paraId="086269C4" w14:textId="12C9CB4E" w:rsidR="00053559" w:rsidRDefault="00254BC4" w:rsidP="00981E7C">
      <w:pPr>
        <w:pStyle w:val="ListParagraph"/>
        <w:numPr>
          <w:ilvl w:val="0"/>
          <w:numId w:val="8"/>
        </w:numPr>
        <w:spacing w:before="40" w:after="0" w:line="240" w:lineRule="auto"/>
        <w:ind w:right="86"/>
        <w:rPr>
          <w:noProof/>
        </w:rPr>
      </w:pPr>
      <w:r>
        <w:rPr>
          <w:noProof/>
        </w:rPr>
        <w:t xml:space="preserve">Not required for law enforcement agencies </w:t>
      </w:r>
      <w:r w:rsidR="00053559">
        <w:rPr>
          <w:noProof/>
        </w:rPr>
        <w:t>(LEAs)</w:t>
      </w:r>
    </w:p>
    <w:p w14:paraId="2CA52236" w14:textId="77777777" w:rsidR="00C87FA6" w:rsidRDefault="00221E4A" w:rsidP="00C87FA6">
      <w:pPr>
        <w:pStyle w:val="ListParagraph"/>
        <w:numPr>
          <w:ilvl w:val="0"/>
          <w:numId w:val="8"/>
        </w:numPr>
        <w:spacing w:before="40" w:after="0" w:line="240" w:lineRule="auto"/>
        <w:ind w:right="86"/>
        <w:rPr>
          <w:noProof/>
        </w:rPr>
      </w:pPr>
      <w:r>
        <w:rPr>
          <w:noProof/>
        </w:rPr>
        <w:t>Retail</w:t>
      </w:r>
      <w:r w:rsidR="001E1476">
        <w:rPr>
          <w:noProof/>
        </w:rPr>
        <w:t xml:space="preserve"> pharmacies, hospitals and clinics </w:t>
      </w:r>
      <w:r>
        <w:rPr>
          <w:noProof/>
        </w:rPr>
        <w:t>should also contact their state B</w:t>
      </w:r>
      <w:r w:rsidR="001E1476">
        <w:rPr>
          <w:noProof/>
        </w:rPr>
        <w:t xml:space="preserve">oard of </w:t>
      </w:r>
      <w:r>
        <w:rPr>
          <w:noProof/>
        </w:rPr>
        <w:t>P</w:t>
      </w:r>
      <w:r w:rsidR="001E1476">
        <w:rPr>
          <w:noProof/>
        </w:rPr>
        <w:t>harmacy</w:t>
      </w:r>
      <w:r w:rsidR="00C87FA6" w:rsidRPr="00C87FA6">
        <w:t xml:space="preserve"> </w:t>
      </w:r>
      <w:r w:rsidR="00C87FA6" w:rsidRPr="007945D9">
        <w:t>and refer to local consumer medication take-back legislation</w:t>
      </w:r>
      <w:r w:rsidR="001E1476">
        <w:rPr>
          <w:noProof/>
        </w:rPr>
        <w:t xml:space="preserve"> to verify any additional registration or collection requirements </w:t>
      </w:r>
    </w:p>
    <w:p w14:paraId="02D4E990" w14:textId="6100FC80" w:rsidR="00C87FA6" w:rsidRDefault="00C87FA6" w:rsidP="00C87FA6">
      <w:pPr>
        <w:pStyle w:val="ListParagraph"/>
        <w:numPr>
          <w:ilvl w:val="0"/>
          <w:numId w:val="8"/>
        </w:numPr>
        <w:spacing w:before="40" w:after="0" w:line="240" w:lineRule="auto"/>
        <w:ind w:right="86"/>
        <w:rPr>
          <w:noProof/>
        </w:rPr>
      </w:pPr>
      <w:r>
        <w:t xml:space="preserve">Note: DEA regulations require long-term care facilities (LTCFs) who host a medication collection kiosk to </w:t>
      </w:r>
      <w:proofErr w:type="gramStart"/>
      <w:r>
        <w:t>partner</w:t>
      </w:r>
      <w:proofErr w:type="gramEnd"/>
      <w:r>
        <w:t xml:space="preserve"> with a DEA registrant such as a retail pharmacy or hospital to operate their kiosk program.  LTCFs should verify the registrant status of their selected partner as part of the set-up process.</w:t>
      </w:r>
    </w:p>
    <w:p w14:paraId="4AB9ED55" w14:textId="77777777" w:rsidR="00254BC4" w:rsidRDefault="00254BC4" w:rsidP="00254BC4">
      <w:pPr>
        <w:spacing w:before="40" w:after="0" w:line="240" w:lineRule="auto"/>
        <w:ind w:right="86"/>
        <w:rPr>
          <w:noProof/>
        </w:rPr>
      </w:pPr>
    </w:p>
    <w:p w14:paraId="59D2B5DC" w14:textId="77777777" w:rsidR="00254BC4" w:rsidRDefault="00E24AED" w:rsidP="00254BC4">
      <w:pPr>
        <w:pStyle w:val="ListParagraph"/>
        <w:numPr>
          <w:ilvl w:val="0"/>
          <w:numId w:val="6"/>
        </w:numPr>
        <w:spacing w:before="40" w:after="0" w:line="240" w:lineRule="auto"/>
        <w:ind w:right="86"/>
        <w:rPr>
          <w:noProof/>
        </w:rPr>
      </w:pPr>
      <w:r w:rsidRPr="00053559">
        <w:rPr>
          <w:noProof/>
          <w:u w:val="single"/>
        </w:rPr>
        <w:t xml:space="preserve">Identify a compliant </w:t>
      </w:r>
      <w:r w:rsidR="00053559" w:rsidRPr="00053559">
        <w:rPr>
          <w:noProof/>
          <w:u w:val="single"/>
        </w:rPr>
        <w:t>area</w:t>
      </w:r>
      <w:r w:rsidRPr="00053559">
        <w:rPr>
          <w:noProof/>
          <w:u w:val="single"/>
        </w:rPr>
        <w:t xml:space="preserve"> </w:t>
      </w:r>
      <w:r w:rsidR="00053559" w:rsidRPr="00053559">
        <w:rPr>
          <w:noProof/>
          <w:u w:val="single"/>
        </w:rPr>
        <w:t xml:space="preserve">within the host location </w:t>
      </w:r>
      <w:r w:rsidRPr="00053559">
        <w:rPr>
          <w:noProof/>
          <w:u w:val="single"/>
        </w:rPr>
        <w:t>to install the kiosk</w:t>
      </w:r>
      <w:r>
        <w:rPr>
          <w:noProof/>
        </w:rPr>
        <w:t>:</w:t>
      </w:r>
    </w:p>
    <w:p w14:paraId="6CD14760" w14:textId="77777777" w:rsidR="00E24AED" w:rsidRDefault="00E24AED" w:rsidP="00E24AED">
      <w:pPr>
        <w:pStyle w:val="ListParagraph"/>
        <w:numPr>
          <w:ilvl w:val="0"/>
          <w:numId w:val="9"/>
        </w:numPr>
        <w:spacing w:before="40" w:after="0" w:line="240" w:lineRule="auto"/>
        <w:ind w:right="86"/>
        <w:rPr>
          <w:noProof/>
        </w:rPr>
      </w:pPr>
      <w:r>
        <w:rPr>
          <w:noProof/>
        </w:rPr>
        <w:t xml:space="preserve">Retail pharmacies </w:t>
      </w:r>
      <w:r>
        <w:rPr>
          <w:noProof/>
        </w:rPr>
        <w:sym w:font="Wingdings" w:char="F0E0"/>
      </w:r>
      <w:r>
        <w:rPr>
          <w:noProof/>
        </w:rPr>
        <w:t xml:space="preserve"> Must be within direct line of sight of pharmacy counter</w:t>
      </w:r>
    </w:p>
    <w:p w14:paraId="33AC1AD2" w14:textId="77777777" w:rsidR="00E24AED" w:rsidRDefault="00E24AED" w:rsidP="00E24AED">
      <w:pPr>
        <w:pStyle w:val="ListParagraph"/>
        <w:numPr>
          <w:ilvl w:val="0"/>
          <w:numId w:val="9"/>
        </w:numPr>
        <w:spacing w:before="40" w:after="0" w:line="240" w:lineRule="auto"/>
        <w:ind w:right="86"/>
        <w:rPr>
          <w:noProof/>
        </w:rPr>
      </w:pPr>
      <w:r>
        <w:rPr>
          <w:noProof/>
        </w:rPr>
        <w:t xml:space="preserve">Hospitals/clinics </w:t>
      </w:r>
      <w:r>
        <w:rPr>
          <w:noProof/>
        </w:rPr>
        <w:sym w:font="Wingdings" w:char="F0E0"/>
      </w:r>
      <w:r>
        <w:rPr>
          <w:noProof/>
        </w:rPr>
        <w:t xml:space="preserve"> Must be in an area regularly monitored by employees and not used for urgency or emergency care</w:t>
      </w:r>
    </w:p>
    <w:p w14:paraId="6C8DC852" w14:textId="77777777" w:rsidR="00E24AED" w:rsidRDefault="00E24AED" w:rsidP="00E24AED">
      <w:pPr>
        <w:pStyle w:val="ListParagraph"/>
        <w:numPr>
          <w:ilvl w:val="0"/>
          <w:numId w:val="9"/>
        </w:numPr>
        <w:spacing w:before="40" w:after="0" w:line="240" w:lineRule="auto"/>
        <w:ind w:right="86"/>
        <w:rPr>
          <w:noProof/>
        </w:rPr>
      </w:pPr>
      <w:r>
        <w:rPr>
          <w:noProof/>
        </w:rPr>
        <w:t xml:space="preserve">Law enforcement agencies </w:t>
      </w:r>
      <w:r>
        <w:rPr>
          <w:noProof/>
        </w:rPr>
        <w:sym w:font="Wingdings" w:char="F0E0"/>
      </w:r>
      <w:r>
        <w:rPr>
          <w:noProof/>
        </w:rPr>
        <w:t xml:space="preserve"> Must simply</w:t>
      </w:r>
      <w:r w:rsidR="009E4E94">
        <w:rPr>
          <w:noProof/>
        </w:rPr>
        <w:t xml:space="preserve"> be</w:t>
      </w:r>
      <w:r>
        <w:rPr>
          <w:noProof/>
        </w:rPr>
        <w:t xml:space="preserve"> inside the physical law enforcement location</w:t>
      </w:r>
    </w:p>
    <w:p w14:paraId="164AF06C" w14:textId="77777777" w:rsidR="009E4E94" w:rsidRDefault="009E4E94" w:rsidP="00E24AED">
      <w:pPr>
        <w:pStyle w:val="ListParagraph"/>
        <w:numPr>
          <w:ilvl w:val="0"/>
          <w:numId w:val="9"/>
        </w:numPr>
        <w:spacing w:before="40" w:after="0" w:line="240" w:lineRule="auto"/>
        <w:ind w:right="86"/>
        <w:rPr>
          <w:noProof/>
        </w:rPr>
      </w:pPr>
      <w:r>
        <w:rPr>
          <w:noProof/>
        </w:rPr>
        <w:t>In all settings, kiosks must be permanently</w:t>
      </w:r>
      <w:bookmarkStart w:id="0" w:name="_GoBack"/>
      <w:bookmarkEnd w:id="0"/>
      <w:r>
        <w:rPr>
          <w:noProof/>
        </w:rPr>
        <w:t xml:space="preserve"> affixed to the floor or wall</w:t>
      </w:r>
    </w:p>
    <w:p w14:paraId="0D49AC62" w14:textId="1CF036D2" w:rsidR="00C87FA6" w:rsidRDefault="009E4E94" w:rsidP="00C87FA6">
      <w:pPr>
        <w:pStyle w:val="ListParagraph"/>
        <w:numPr>
          <w:ilvl w:val="0"/>
          <w:numId w:val="9"/>
        </w:numPr>
        <w:spacing w:before="40" w:after="0" w:line="240" w:lineRule="auto"/>
        <w:ind w:right="86"/>
        <w:rPr>
          <w:noProof/>
        </w:rPr>
      </w:pPr>
      <w:r>
        <w:rPr>
          <w:noProof/>
        </w:rPr>
        <w:t>Refer to Stericycle’s medication kiosk installation instructions for additional information</w:t>
      </w:r>
      <w:r w:rsidR="00C87FA6" w:rsidRPr="007945D9">
        <w:t>Note: These requirements represent DEA regulations only; retail pharmacies, hospitals and clinics should also contact their state Board</w:t>
      </w:r>
      <w:r w:rsidR="00C87FA6" w:rsidRPr="00C87FA6">
        <w:rPr>
          <w:spacing w:val="-29"/>
        </w:rPr>
        <w:t xml:space="preserve"> </w:t>
      </w:r>
      <w:r w:rsidR="00C87FA6" w:rsidRPr="007945D9">
        <w:t>of Pharmacy and refer to local consumer medication take-back legislation to verify any additional placement or storage</w:t>
      </w:r>
      <w:r w:rsidR="00C87FA6" w:rsidRPr="00C87FA6">
        <w:rPr>
          <w:spacing w:val="-28"/>
        </w:rPr>
        <w:t xml:space="preserve"> </w:t>
      </w:r>
      <w:r w:rsidR="00C87FA6" w:rsidRPr="007945D9">
        <w:t>requirements</w:t>
      </w:r>
    </w:p>
    <w:p w14:paraId="22162358" w14:textId="77777777" w:rsidR="009E4E94" w:rsidRDefault="009E4E94" w:rsidP="009E4E94">
      <w:pPr>
        <w:spacing w:before="40" w:after="0" w:line="240" w:lineRule="auto"/>
        <w:ind w:right="86"/>
        <w:rPr>
          <w:noProof/>
        </w:rPr>
      </w:pPr>
    </w:p>
    <w:p w14:paraId="4656A516" w14:textId="39EF3018" w:rsidR="00053559" w:rsidRPr="00053559" w:rsidRDefault="00C87FA6" w:rsidP="00053559">
      <w:pPr>
        <w:pStyle w:val="ListParagraph"/>
        <w:numPr>
          <w:ilvl w:val="0"/>
          <w:numId w:val="6"/>
        </w:numPr>
        <w:spacing w:before="40" w:after="0" w:line="240" w:lineRule="auto"/>
        <w:ind w:right="86"/>
        <w:rPr>
          <w:noProof/>
          <w:u w:val="single"/>
        </w:rPr>
      </w:pPr>
      <w:r>
        <w:rPr>
          <w:noProof/>
          <w:u w:val="single"/>
        </w:rPr>
        <w:t>Train host location staff</w:t>
      </w:r>
      <w:r w:rsidR="00053559">
        <w:rPr>
          <w:noProof/>
        </w:rPr>
        <w:t>:</w:t>
      </w:r>
    </w:p>
    <w:p w14:paraId="1FF6B6DC" w14:textId="74C0124C" w:rsidR="00053559" w:rsidRDefault="00C87FA6" w:rsidP="00053559">
      <w:pPr>
        <w:pStyle w:val="ListParagraph"/>
        <w:numPr>
          <w:ilvl w:val="0"/>
          <w:numId w:val="11"/>
        </w:numPr>
        <w:spacing w:before="40" w:after="0" w:line="240" w:lineRule="auto"/>
        <w:ind w:right="86"/>
        <w:rPr>
          <w:noProof/>
        </w:rPr>
      </w:pPr>
      <w:r>
        <w:rPr>
          <w:noProof/>
        </w:rPr>
        <w:t>DEA regulations require a tracking log to be maintained fore each kiosk liner</w:t>
      </w:r>
    </w:p>
    <w:p w14:paraId="078ADFE1" w14:textId="05CED104" w:rsidR="00C87FA6" w:rsidRDefault="00C87FA6" w:rsidP="00053559">
      <w:pPr>
        <w:pStyle w:val="ListParagraph"/>
        <w:numPr>
          <w:ilvl w:val="0"/>
          <w:numId w:val="11"/>
        </w:numPr>
        <w:spacing w:before="40" w:after="0" w:line="240" w:lineRule="auto"/>
        <w:ind w:right="86"/>
        <w:rPr>
          <w:noProof/>
        </w:rPr>
      </w:pPr>
      <w:r>
        <w:rPr>
          <w:noProof/>
        </w:rPr>
        <w:t>Host locations must track each unique kiosk liner number throughout all stages of the collection process</w:t>
      </w:r>
    </w:p>
    <w:p w14:paraId="56D1CC9E" w14:textId="6A354398" w:rsidR="00053559" w:rsidRDefault="00053559" w:rsidP="00053559">
      <w:pPr>
        <w:pStyle w:val="ListParagraph"/>
        <w:numPr>
          <w:ilvl w:val="0"/>
          <w:numId w:val="11"/>
        </w:numPr>
        <w:spacing w:before="40" w:after="0" w:line="240" w:lineRule="auto"/>
        <w:ind w:right="86"/>
        <w:rPr>
          <w:noProof/>
        </w:rPr>
      </w:pPr>
      <w:r>
        <w:rPr>
          <w:noProof/>
        </w:rPr>
        <w:t xml:space="preserve">Two host location employees must witness each kiosk service and sign </w:t>
      </w:r>
      <w:r w:rsidR="00C87FA6">
        <w:rPr>
          <w:noProof/>
        </w:rPr>
        <w:t xml:space="preserve">the log </w:t>
      </w:r>
      <w:r>
        <w:rPr>
          <w:noProof/>
        </w:rPr>
        <w:t>to document</w:t>
      </w:r>
    </w:p>
    <w:p w14:paraId="49A3BA2A" w14:textId="77777777" w:rsidR="00053559" w:rsidRDefault="00053559" w:rsidP="00053559">
      <w:pPr>
        <w:pStyle w:val="ListParagraph"/>
        <w:numPr>
          <w:ilvl w:val="0"/>
          <w:numId w:val="11"/>
        </w:numPr>
        <w:spacing w:before="40" w:after="0" w:line="240" w:lineRule="auto"/>
        <w:ind w:right="86"/>
        <w:rPr>
          <w:noProof/>
        </w:rPr>
      </w:pPr>
      <w:r>
        <w:rPr>
          <w:noProof/>
        </w:rPr>
        <w:t>A copy of DOT Special Permit 20255 must be maintained at each host location</w:t>
      </w:r>
    </w:p>
    <w:p w14:paraId="2929C543" w14:textId="186F0074" w:rsidR="00053559" w:rsidRDefault="00053559" w:rsidP="00053559">
      <w:pPr>
        <w:pStyle w:val="ListParagraph"/>
        <w:numPr>
          <w:ilvl w:val="0"/>
          <w:numId w:val="11"/>
        </w:numPr>
        <w:spacing w:before="40" w:after="0" w:line="240" w:lineRule="auto"/>
        <w:ind w:right="86"/>
        <w:rPr>
          <w:noProof/>
        </w:rPr>
      </w:pPr>
      <w:r>
        <w:rPr>
          <w:noProof/>
        </w:rPr>
        <w:t xml:space="preserve">Refer to Stericycle’s kiosk tracking log template for additional information </w:t>
      </w:r>
    </w:p>
    <w:p w14:paraId="75711AA2" w14:textId="6BE2D2AF" w:rsidR="00C87FA6" w:rsidRDefault="00C87FA6" w:rsidP="00053559">
      <w:pPr>
        <w:pStyle w:val="ListParagraph"/>
        <w:numPr>
          <w:ilvl w:val="0"/>
          <w:numId w:val="11"/>
        </w:numPr>
        <w:spacing w:before="40" w:after="0" w:line="240" w:lineRule="auto"/>
        <w:ind w:right="86"/>
        <w:rPr>
          <w:noProof/>
        </w:rPr>
      </w:pPr>
      <w:r>
        <w:rPr>
          <w:noProof/>
        </w:rPr>
        <w:t>Host locations should also train staff to any facililty-specific or jurisdiction-specific safety protocols, policices or procedures</w:t>
      </w:r>
    </w:p>
    <w:p w14:paraId="42815350" w14:textId="77777777" w:rsidR="00B5281A" w:rsidRDefault="00B5281A" w:rsidP="00B5281A">
      <w:pPr>
        <w:spacing w:before="40" w:after="0" w:line="240" w:lineRule="auto"/>
        <w:ind w:right="86"/>
        <w:rPr>
          <w:noProof/>
        </w:rPr>
      </w:pPr>
    </w:p>
    <w:p w14:paraId="7665F1D6" w14:textId="77777777" w:rsidR="00B5281A" w:rsidRDefault="00B5281A" w:rsidP="00B5281A">
      <w:pPr>
        <w:spacing w:before="40" w:after="0" w:line="240" w:lineRule="auto"/>
        <w:ind w:right="86"/>
        <w:rPr>
          <w:noProof/>
        </w:rPr>
      </w:pPr>
    </w:p>
    <w:p w14:paraId="3FFB8D69" w14:textId="77777777" w:rsidR="00B5281A" w:rsidRPr="00053559" w:rsidRDefault="00B5281A" w:rsidP="00B5281A">
      <w:pPr>
        <w:pStyle w:val="ListParagraph"/>
        <w:numPr>
          <w:ilvl w:val="0"/>
          <w:numId w:val="6"/>
        </w:numPr>
        <w:spacing w:before="40" w:after="0" w:line="240" w:lineRule="auto"/>
        <w:ind w:right="86"/>
        <w:rPr>
          <w:noProof/>
          <w:u w:val="single"/>
        </w:rPr>
      </w:pPr>
      <w:r>
        <w:rPr>
          <w:noProof/>
          <w:u w:val="single"/>
        </w:rPr>
        <w:t>Ensure host location staff are familiar and comfortable with the service process</w:t>
      </w:r>
      <w:r>
        <w:rPr>
          <w:noProof/>
        </w:rPr>
        <w:t>:</w:t>
      </w:r>
    </w:p>
    <w:p w14:paraId="5AF11856" w14:textId="4C8CE2B6" w:rsidR="008362C3" w:rsidRDefault="008362C3" w:rsidP="00B5281A">
      <w:pPr>
        <w:pStyle w:val="ListParagraph"/>
        <w:numPr>
          <w:ilvl w:val="0"/>
          <w:numId w:val="11"/>
        </w:numPr>
        <w:spacing w:before="40" w:after="0" w:line="240" w:lineRule="auto"/>
        <w:ind w:right="86"/>
        <w:rPr>
          <w:noProof/>
        </w:rPr>
      </w:pPr>
      <w:r>
        <w:rPr>
          <w:noProof/>
        </w:rPr>
        <w:t>Service is routed automatically on a set recurring schedule (</w:t>
      </w:r>
      <w:r w:rsidR="00D65ECF">
        <w:rPr>
          <w:noProof/>
        </w:rPr>
        <w:t xml:space="preserve">ex. </w:t>
      </w:r>
      <w:r>
        <w:rPr>
          <w:noProof/>
        </w:rPr>
        <w:t xml:space="preserve">every 7, 14 or </w:t>
      </w:r>
      <w:r w:rsidR="00C87FA6">
        <w:rPr>
          <w:noProof/>
        </w:rPr>
        <w:t>28</w:t>
      </w:r>
      <w:r>
        <w:rPr>
          <w:noProof/>
        </w:rPr>
        <w:t xml:space="preserve"> days)</w:t>
      </w:r>
    </w:p>
    <w:p w14:paraId="6E3F80C4" w14:textId="77777777" w:rsidR="00B5281A" w:rsidRDefault="00B5281A" w:rsidP="00B5281A">
      <w:pPr>
        <w:pStyle w:val="ListParagraph"/>
        <w:numPr>
          <w:ilvl w:val="0"/>
          <w:numId w:val="11"/>
        </w:numPr>
        <w:spacing w:before="40" w:after="0" w:line="240" w:lineRule="auto"/>
        <w:ind w:right="86"/>
        <w:rPr>
          <w:noProof/>
        </w:rPr>
      </w:pPr>
      <w:r>
        <w:rPr>
          <w:noProof/>
        </w:rPr>
        <w:t>Stericycle technician removes, packages and schedules full boxes for shipment via common carrier</w:t>
      </w:r>
    </w:p>
    <w:p w14:paraId="153BE421" w14:textId="5A57C847" w:rsidR="00B5281A" w:rsidRDefault="00B5281A" w:rsidP="00B5281A">
      <w:pPr>
        <w:pStyle w:val="ListParagraph"/>
        <w:numPr>
          <w:ilvl w:val="0"/>
          <w:numId w:val="11"/>
        </w:numPr>
        <w:spacing w:before="40" w:after="0" w:line="240" w:lineRule="auto"/>
        <w:ind w:right="86"/>
        <w:rPr>
          <w:noProof/>
        </w:rPr>
      </w:pPr>
      <w:r>
        <w:rPr>
          <w:noProof/>
        </w:rPr>
        <w:t xml:space="preserve">Full boxes are left with </w:t>
      </w:r>
      <w:r w:rsidR="00C87FA6">
        <w:rPr>
          <w:noProof/>
        </w:rPr>
        <w:t>host location</w:t>
      </w:r>
      <w:r>
        <w:rPr>
          <w:noProof/>
        </w:rPr>
        <w:t xml:space="preserve"> staff to await pick-up by UPS</w:t>
      </w:r>
    </w:p>
    <w:p w14:paraId="35AB8275" w14:textId="6238E433" w:rsidR="00B5281A" w:rsidRDefault="00B5281A" w:rsidP="00B5281A">
      <w:pPr>
        <w:pStyle w:val="ListParagraph"/>
        <w:numPr>
          <w:ilvl w:val="0"/>
          <w:numId w:val="11"/>
        </w:numPr>
        <w:spacing w:before="40" w:after="0" w:line="240" w:lineRule="auto"/>
        <w:ind w:right="86"/>
        <w:rPr>
          <w:noProof/>
        </w:rPr>
      </w:pPr>
      <w:r>
        <w:rPr>
          <w:noProof/>
        </w:rPr>
        <w:t xml:space="preserve">Both kiosk keys </w:t>
      </w:r>
      <w:r w:rsidR="00C87FA6">
        <w:rPr>
          <w:noProof/>
        </w:rPr>
        <w:t xml:space="preserve">must </w:t>
      </w:r>
      <w:r>
        <w:rPr>
          <w:noProof/>
        </w:rPr>
        <w:t>stay with host location staff at all times</w:t>
      </w:r>
    </w:p>
    <w:p w14:paraId="0FB88C63" w14:textId="77777777" w:rsidR="00B5281A" w:rsidRDefault="00B5281A" w:rsidP="00B5281A">
      <w:pPr>
        <w:pStyle w:val="ListParagraph"/>
        <w:numPr>
          <w:ilvl w:val="0"/>
          <w:numId w:val="11"/>
        </w:numPr>
        <w:spacing w:before="40" w:after="0" w:line="240" w:lineRule="auto"/>
        <w:ind w:right="86"/>
        <w:rPr>
          <w:noProof/>
        </w:rPr>
      </w:pPr>
      <w:r>
        <w:rPr>
          <w:noProof/>
        </w:rPr>
        <w:t xml:space="preserve">Accepted/prohibited items </w:t>
      </w:r>
      <w:r>
        <w:rPr>
          <w:noProof/>
        </w:rPr>
        <w:sym w:font="Wingdings" w:char="F0E0"/>
      </w:r>
      <w:r>
        <w:rPr>
          <w:noProof/>
        </w:rPr>
        <w:t xml:space="preserve"> Refer to kiosk signage for additional information</w:t>
      </w:r>
    </w:p>
    <w:p w14:paraId="35EE6930" w14:textId="77777777" w:rsidR="00B5281A" w:rsidRDefault="00B5281A" w:rsidP="00B5281A">
      <w:pPr>
        <w:spacing w:before="40" w:after="0" w:line="240" w:lineRule="auto"/>
        <w:ind w:right="86"/>
        <w:rPr>
          <w:noProof/>
        </w:rPr>
      </w:pPr>
    </w:p>
    <w:p w14:paraId="1CF64E22" w14:textId="77777777" w:rsidR="008362C3" w:rsidRDefault="008362C3" w:rsidP="00B5281A">
      <w:pPr>
        <w:spacing w:before="40" w:after="0" w:line="240" w:lineRule="auto"/>
        <w:ind w:right="86"/>
        <w:rPr>
          <w:noProof/>
        </w:rPr>
      </w:pPr>
      <w:r>
        <w:rPr>
          <w:noProof/>
        </w:rPr>
        <w:t xml:space="preserve">Questions?  </w:t>
      </w:r>
    </w:p>
    <w:p w14:paraId="302028F2" w14:textId="77777777" w:rsidR="008362C3" w:rsidRPr="008722C9" w:rsidRDefault="008362C3" w:rsidP="00B5281A">
      <w:pPr>
        <w:spacing w:before="40" w:after="0" w:line="240" w:lineRule="auto"/>
        <w:ind w:right="86"/>
        <w:rPr>
          <w:noProof/>
        </w:rPr>
      </w:pPr>
      <w:r>
        <w:rPr>
          <w:noProof/>
        </w:rPr>
        <w:t>Contact Stericycle’s dedicated take-back client services team at 877-787-0375 or RxTakeBack@stericycle.com</w:t>
      </w:r>
    </w:p>
    <w:sectPr w:rsidR="008362C3" w:rsidRPr="008722C9" w:rsidSect="00131B6B">
      <w:headerReference w:type="default" r:id="rId12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34918" w14:textId="77777777" w:rsidR="00B84901" w:rsidRDefault="00B84901" w:rsidP="00DB49A5">
      <w:pPr>
        <w:spacing w:after="0" w:line="240" w:lineRule="auto"/>
      </w:pPr>
      <w:r>
        <w:separator/>
      </w:r>
    </w:p>
  </w:endnote>
  <w:endnote w:type="continuationSeparator" w:id="0">
    <w:p w14:paraId="58A7F42F" w14:textId="77777777" w:rsidR="00B84901" w:rsidRDefault="00B84901" w:rsidP="00DB4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15F46" w14:textId="77777777" w:rsidR="00B84901" w:rsidRDefault="00B84901" w:rsidP="00DB49A5">
      <w:pPr>
        <w:spacing w:after="0" w:line="240" w:lineRule="auto"/>
      </w:pPr>
      <w:r>
        <w:separator/>
      </w:r>
    </w:p>
  </w:footnote>
  <w:footnote w:type="continuationSeparator" w:id="0">
    <w:p w14:paraId="4E90D1F3" w14:textId="77777777" w:rsidR="00B84901" w:rsidRDefault="00B84901" w:rsidP="00DB4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5EBF1" w14:textId="5123684F" w:rsidR="00E33D97" w:rsidRPr="004D5F0F" w:rsidRDefault="004F0FCA">
    <w:pPr>
      <w:pStyle w:val="Header"/>
      <w:rPr>
        <w:sz w:val="48"/>
        <w:szCs w:val="48"/>
      </w:rPr>
    </w:pPr>
    <w:r>
      <w:rPr>
        <w:noProof/>
      </w:rPr>
      <w:drawing>
        <wp:inline distT="0" distB="0" distL="0" distR="0" wp14:anchorId="566575B1" wp14:editId="6AE31D36">
          <wp:extent cx="1514475" cy="439589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p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1570" cy="444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33D97">
      <w:t xml:space="preserve">               </w:t>
    </w:r>
    <w:r w:rsidR="002A4680" w:rsidRPr="001D1D53">
      <w:rPr>
        <w:color w:val="1F497D" w:themeColor="text2"/>
        <w:sz w:val="32"/>
        <w:szCs w:val="36"/>
      </w:rPr>
      <w:t xml:space="preserve">Medication Disposal Kiosk </w:t>
    </w:r>
    <w:r w:rsidR="002A4680">
      <w:rPr>
        <w:color w:val="1F497D" w:themeColor="text2"/>
        <w:sz w:val="32"/>
        <w:szCs w:val="36"/>
      </w:rPr>
      <w:t>Pre-Service Setup</w:t>
    </w:r>
  </w:p>
  <w:p w14:paraId="6C494800" w14:textId="77777777" w:rsidR="00E33D97" w:rsidRDefault="00D2010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-471805</wp:posOffset>
              </wp:positionH>
              <wp:positionV relativeFrom="paragraph">
                <wp:posOffset>210820</wp:posOffset>
              </wp:positionV>
              <wp:extent cx="6910705" cy="0"/>
              <wp:effectExtent l="13970" t="10795" r="952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07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87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18CC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7.15pt;margin-top:16.6pt;width:544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" strokecolor="#00987b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20664"/>
    <w:multiLevelType w:val="hybridMultilevel"/>
    <w:tmpl w:val="CF58E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77EF3"/>
    <w:multiLevelType w:val="hybridMultilevel"/>
    <w:tmpl w:val="08B8E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54263"/>
    <w:multiLevelType w:val="hybridMultilevel"/>
    <w:tmpl w:val="1DC4333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8F45CF1"/>
    <w:multiLevelType w:val="hybridMultilevel"/>
    <w:tmpl w:val="BD064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90DC1"/>
    <w:multiLevelType w:val="hybridMultilevel"/>
    <w:tmpl w:val="D04803C2"/>
    <w:lvl w:ilvl="0" w:tplc="18CEF566">
      <w:start w:val="169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E3038"/>
    <w:multiLevelType w:val="hybridMultilevel"/>
    <w:tmpl w:val="54DE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85E7E"/>
    <w:multiLevelType w:val="hybridMultilevel"/>
    <w:tmpl w:val="1C846F4C"/>
    <w:lvl w:ilvl="0" w:tplc="99F00772">
      <w:start w:val="1"/>
      <w:numFmt w:val="bullet"/>
      <w:lvlText w:val=""/>
      <w:lvlJc w:val="left"/>
      <w:pPr>
        <w:ind w:left="1848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7" w15:restartNumberingAfterBreak="0">
    <w:nsid w:val="4BC61CCF"/>
    <w:multiLevelType w:val="hybridMultilevel"/>
    <w:tmpl w:val="DF2428D0"/>
    <w:lvl w:ilvl="0" w:tplc="0409000D">
      <w:start w:val="1"/>
      <w:numFmt w:val="bullet"/>
      <w:lvlText w:val=""/>
      <w:lvlJc w:val="left"/>
      <w:pPr>
        <w:ind w:left="184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8" w15:restartNumberingAfterBreak="0">
    <w:nsid w:val="5CC710D6"/>
    <w:multiLevelType w:val="hybridMultilevel"/>
    <w:tmpl w:val="6DC6D922"/>
    <w:lvl w:ilvl="0" w:tplc="1F10F09E">
      <w:start w:val="409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A7D6A"/>
    <w:multiLevelType w:val="hybridMultilevel"/>
    <w:tmpl w:val="3746C63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74D17B3"/>
    <w:multiLevelType w:val="hybridMultilevel"/>
    <w:tmpl w:val="A502D9A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C4E0F27"/>
    <w:multiLevelType w:val="hybridMultilevel"/>
    <w:tmpl w:val="1818AB64"/>
    <w:lvl w:ilvl="0" w:tplc="B1708106">
      <w:start w:val="1"/>
      <w:numFmt w:val="decimal"/>
      <w:lvlText w:val="%1."/>
      <w:lvlJc w:val="left"/>
      <w:pPr>
        <w:ind w:left="1800" w:hanging="360"/>
      </w:pPr>
      <w:rPr>
        <w:rFonts w:ascii="Segoe UI" w:eastAsia="Segoe UI" w:hAnsi="Segoe UI" w:cs="Segoe UI" w:hint="default"/>
        <w:spacing w:val="-5"/>
        <w:w w:val="100"/>
        <w:sz w:val="22"/>
        <w:szCs w:val="22"/>
      </w:rPr>
    </w:lvl>
    <w:lvl w:ilvl="1" w:tplc="655CE06C">
      <w:numFmt w:val="bullet"/>
      <w:lvlText w:val=""/>
      <w:lvlJc w:val="left"/>
      <w:pPr>
        <w:ind w:left="252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41501308"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 w:hint="default"/>
        <w:spacing w:val="-6"/>
        <w:w w:val="100"/>
        <w:sz w:val="22"/>
        <w:szCs w:val="22"/>
      </w:rPr>
    </w:lvl>
    <w:lvl w:ilvl="3" w:tplc="7960BEF0">
      <w:numFmt w:val="bullet"/>
      <w:lvlText w:val="•"/>
      <w:lvlJc w:val="left"/>
      <w:pPr>
        <w:ind w:left="4680" w:hanging="360"/>
      </w:pPr>
      <w:rPr>
        <w:rFonts w:hint="default"/>
      </w:rPr>
    </w:lvl>
    <w:lvl w:ilvl="4" w:tplc="B8DC6966">
      <w:numFmt w:val="bullet"/>
      <w:lvlText w:val="•"/>
      <w:lvlJc w:val="left"/>
      <w:pPr>
        <w:ind w:left="5760" w:hanging="360"/>
      </w:pPr>
      <w:rPr>
        <w:rFonts w:hint="default"/>
      </w:rPr>
    </w:lvl>
    <w:lvl w:ilvl="5" w:tplc="FD2C1324">
      <w:numFmt w:val="bullet"/>
      <w:lvlText w:val="•"/>
      <w:lvlJc w:val="left"/>
      <w:pPr>
        <w:ind w:left="6840" w:hanging="360"/>
      </w:pPr>
      <w:rPr>
        <w:rFonts w:hint="default"/>
      </w:rPr>
    </w:lvl>
    <w:lvl w:ilvl="6" w:tplc="A2E25F54">
      <w:numFmt w:val="bullet"/>
      <w:lvlText w:val="•"/>
      <w:lvlJc w:val="left"/>
      <w:pPr>
        <w:ind w:left="7920" w:hanging="360"/>
      </w:pPr>
      <w:rPr>
        <w:rFonts w:hint="default"/>
      </w:rPr>
    </w:lvl>
    <w:lvl w:ilvl="7" w:tplc="79EE3EF4">
      <w:numFmt w:val="bullet"/>
      <w:lvlText w:val="•"/>
      <w:lvlJc w:val="left"/>
      <w:pPr>
        <w:ind w:left="9000" w:hanging="360"/>
      </w:pPr>
      <w:rPr>
        <w:rFonts w:hint="default"/>
      </w:rPr>
    </w:lvl>
    <w:lvl w:ilvl="8" w:tplc="7334108C">
      <w:numFmt w:val="bullet"/>
      <w:lvlText w:val="•"/>
      <w:lvlJc w:val="left"/>
      <w:pPr>
        <w:ind w:left="100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85"/>
    <w:rsid w:val="00006001"/>
    <w:rsid w:val="000157E8"/>
    <w:rsid w:val="00053559"/>
    <w:rsid w:val="0006092B"/>
    <w:rsid w:val="000761E9"/>
    <w:rsid w:val="000872C6"/>
    <w:rsid w:val="000B5AC6"/>
    <w:rsid w:val="000C5261"/>
    <w:rsid w:val="00131B6B"/>
    <w:rsid w:val="001712A7"/>
    <w:rsid w:val="001D29C6"/>
    <w:rsid w:val="001E1476"/>
    <w:rsid w:val="00206114"/>
    <w:rsid w:val="00206B76"/>
    <w:rsid w:val="00221E4A"/>
    <w:rsid w:val="00233BBA"/>
    <w:rsid w:val="002377EF"/>
    <w:rsid w:val="00254BC4"/>
    <w:rsid w:val="00260AF0"/>
    <w:rsid w:val="00271A5F"/>
    <w:rsid w:val="00285F4F"/>
    <w:rsid w:val="002A4680"/>
    <w:rsid w:val="002C2C6B"/>
    <w:rsid w:val="002E53A7"/>
    <w:rsid w:val="00315FD7"/>
    <w:rsid w:val="00344385"/>
    <w:rsid w:val="00357A3F"/>
    <w:rsid w:val="00363722"/>
    <w:rsid w:val="00376B9D"/>
    <w:rsid w:val="00383C41"/>
    <w:rsid w:val="003938A8"/>
    <w:rsid w:val="003F5195"/>
    <w:rsid w:val="0040279C"/>
    <w:rsid w:val="0040693E"/>
    <w:rsid w:val="00454C6B"/>
    <w:rsid w:val="00462B76"/>
    <w:rsid w:val="00474C51"/>
    <w:rsid w:val="004D5F0F"/>
    <w:rsid w:val="004E1EEE"/>
    <w:rsid w:val="004F0FCA"/>
    <w:rsid w:val="005511DC"/>
    <w:rsid w:val="00567E39"/>
    <w:rsid w:val="005B6631"/>
    <w:rsid w:val="005D108C"/>
    <w:rsid w:val="005D5DE5"/>
    <w:rsid w:val="005E424D"/>
    <w:rsid w:val="006120C7"/>
    <w:rsid w:val="006676BB"/>
    <w:rsid w:val="006F1056"/>
    <w:rsid w:val="006F659D"/>
    <w:rsid w:val="00712B55"/>
    <w:rsid w:val="00723E72"/>
    <w:rsid w:val="007379F8"/>
    <w:rsid w:val="00772B5D"/>
    <w:rsid w:val="00775345"/>
    <w:rsid w:val="007A270C"/>
    <w:rsid w:val="008162C9"/>
    <w:rsid w:val="008362C3"/>
    <w:rsid w:val="00843728"/>
    <w:rsid w:val="00855DBA"/>
    <w:rsid w:val="00862F76"/>
    <w:rsid w:val="008722C9"/>
    <w:rsid w:val="00882686"/>
    <w:rsid w:val="0088503B"/>
    <w:rsid w:val="009D21C0"/>
    <w:rsid w:val="009E4E94"/>
    <w:rsid w:val="009E69EA"/>
    <w:rsid w:val="009F2353"/>
    <w:rsid w:val="00A96A07"/>
    <w:rsid w:val="00AC5644"/>
    <w:rsid w:val="00AC7E43"/>
    <w:rsid w:val="00AE10A3"/>
    <w:rsid w:val="00AE297F"/>
    <w:rsid w:val="00B5281A"/>
    <w:rsid w:val="00B72217"/>
    <w:rsid w:val="00B84901"/>
    <w:rsid w:val="00BB6DF9"/>
    <w:rsid w:val="00BF419D"/>
    <w:rsid w:val="00C16352"/>
    <w:rsid w:val="00C87FA6"/>
    <w:rsid w:val="00CA0369"/>
    <w:rsid w:val="00CB162E"/>
    <w:rsid w:val="00CD5AC5"/>
    <w:rsid w:val="00CD660F"/>
    <w:rsid w:val="00D139FF"/>
    <w:rsid w:val="00D13E3A"/>
    <w:rsid w:val="00D2010C"/>
    <w:rsid w:val="00D37B9F"/>
    <w:rsid w:val="00D43C8C"/>
    <w:rsid w:val="00D65ECF"/>
    <w:rsid w:val="00D8791F"/>
    <w:rsid w:val="00D91F05"/>
    <w:rsid w:val="00DB49A5"/>
    <w:rsid w:val="00E24AED"/>
    <w:rsid w:val="00E33D97"/>
    <w:rsid w:val="00E56A24"/>
    <w:rsid w:val="00E731E4"/>
    <w:rsid w:val="00EE1F87"/>
    <w:rsid w:val="00EE3B3F"/>
    <w:rsid w:val="00F27E93"/>
    <w:rsid w:val="00F6503C"/>
    <w:rsid w:val="00F72C49"/>
    <w:rsid w:val="00F959DF"/>
    <w:rsid w:val="00FB55AE"/>
    <w:rsid w:val="00F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ED8A43"/>
  <w15:docId w15:val="{D389A1DB-53E7-4629-B737-04268CF1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4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9A5"/>
  </w:style>
  <w:style w:type="paragraph" w:styleId="Footer">
    <w:name w:val="footer"/>
    <w:basedOn w:val="Normal"/>
    <w:link w:val="FooterChar"/>
    <w:uiPriority w:val="99"/>
    <w:unhideWhenUsed/>
    <w:rsid w:val="00DB4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9A5"/>
  </w:style>
  <w:style w:type="character" w:styleId="Hyperlink">
    <w:name w:val="Hyperlink"/>
    <w:basedOn w:val="DefaultParagraphFont"/>
    <w:uiPriority w:val="99"/>
    <w:unhideWhenUsed/>
    <w:rsid w:val="003637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363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1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s.deadiversion.usdoj.gov/webforms2/spring/login?execution=e1s1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5AC6D81BE824F94B988D335361DAB" ma:contentTypeVersion="10" ma:contentTypeDescription="Create a new document." ma:contentTypeScope="" ma:versionID="8315cb3a9c3161111e941319a20cb34b">
  <xsd:schema xmlns:xsd="http://www.w3.org/2001/XMLSchema" xmlns:xs="http://www.w3.org/2001/XMLSchema" xmlns:p="http://schemas.microsoft.com/office/2006/metadata/properties" xmlns:ns2="10d43cf0-0bac-4228-a11d-b3b81df21fee" targetNamespace="http://schemas.microsoft.com/office/2006/metadata/properties" ma:root="true" ma:fieldsID="8e54b025824c14c5559fd6cfa8d541e6" ns2:_="">
    <xsd:import namespace="10d43cf0-0bac-4228-a11d-b3b81df21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43cf0-0bac-4228-a11d-b3b81df21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2BFF8-A04F-4BD1-9FB1-A808FF0E9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43cf0-0bac-4228-a11d-b3b81df21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83E8F4-9540-43B2-8B3B-26460DE9E950}">
  <ds:schemaRefs>
    <ds:schemaRef ds:uri="http://purl.org/dc/dcmitype/"/>
    <ds:schemaRef ds:uri="http://www.w3.org/XML/1998/namespace"/>
    <ds:schemaRef ds:uri="http://schemas.microsoft.com/office/2006/documentManagement/types"/>
    <ds:schemaRef ds:uri="10d43cf0-0bac-4228-a11d-b3b81df21fee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7822E74-434C-4DFB-BE33-B6B3C474F7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B9148E-1002-4624-A564-240938AF1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Stericycle, Inc.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Stericycle, Inc.</dc:creator>
  <cp:lastModifiedBy>Moynihan, Meg</cp:lastModifiedBy>
  <cp:revision>2</cp:revision>
  <cp:lastPrinted>2015-08-28T15:44:00Z</cp:lastPrinted>
  <dcterms:created xsi:type="dcterms:W3CDTF">2021-10-21T15:39:00Z</dcterms:created>
  <dcterms:modified xsi:type="dcterms:W3CDTF">2021-10-21T15:39:00Z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0x010100B0E5AC6D81BE824F94B988D335361DAB</vt:lpwstr>
  </property>
</Properties>
</file>